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90D1">
      <w:pPr>
        <w:spacing w:line="640" w:lineRule="exact"/>
        <w:jc w:val="center"/>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2025年度博士后研究人员招聘公告</w:t>
      </w:r>
    </w:p>
    <w:p w14:paraId="76B6F08C">
      <w:pPr>
        <w:spacing w:line="560" w:lineRule="exact"/>
        <w:rPr>
          <w:rFonts w:ascii="Times New Roman" w:hAnsi="Times New Roman" w:eastAsia="仿宋_GB2312" w:cs="Times New Roman"/>
          <w:sz w:val="32"/>
          <w:szCs w:val="4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6736"/>
      </w:tblGrid>
      <w:tr w14:paraId="19C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C829D67">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职位名称</w:t>
            </w:r>
          </w:p>
        </w:tc>
        <w:tc>
          <w:tcPr>
            <w:tcW w:w="6736" w:type="dxa"/>
            <w:vAlign w:val="center"/>
          </w:tcPr>
          <w:p w14:paraId="1A334BD5">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研究助理</w:t>
            </w:r>
          </w:p>
        </w:tc>
      </w:tr>
      <w:tr w14:paraId="5F48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5F21D7C">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职位性质</w:t>
            </w:r>
          </w:p>
        </w:tc>
        <w:tc>
          <w:tcPr>
            <w:tcW w:w="6736" w:type="dxa"/>
            <w:vAlign w:val="center"/>
          </w:tcPr>
          <w:p w14:paraId="4918E454">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校招</w:t>
            </w:r>
          </w:p>
        </w:tc>
      </w:tr>
      <w:tr w14:paraId="1E7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B26BA66">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职位类别</w:t>
            </w:r>
          </w:p>
        </w:tc>
        <w:tc>
          <w:tcPr>
            <w:tcW w:w="6736" w:type="dxa"/>
            <w:vAlign w:val="center"/>
          </w:tcPr>
          <w:p w14:paraId="0C87F6A6">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研究助理</w:t>
            </w:r>
          </w:p>
        </w:tc>
      </w:tr>
      <w:tr w14:paraId="6C7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4A8D60">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工作地址</w:t>
            </w:r>
          </w:p>
        </w:tc>
        <w:tc>
          <w:tcPr>
            <w:tcW w:w="6736" w:type="dxa"/>
            <w:vAlign w:val="center"/>
          </w:tcPr>
          <w:p w14:paraId="527BEB43">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北京市怀柔区雁栖经济开发区兴科东大街11号</w:t>
            </w:r>
          </w:p>
        </w:tc>
      </w:tr>
      <w:tr w14:paraId="3CD1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1B63567">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薪资待遇</w:t>
            </w:r>
          </w:p>
        </w:tc>
        <w:tc>
          <w:tcPr>
            <w:tcW w:w="6736" w:type="dxa"/>
            <w:vAlign w:val="center"/>
          </w:tcPr>
          <w:p w14:paraId="4AA217BC">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sym w:font="Wingdings 2" w:char="00A3"/>
            </w:r>
            <w:r>
              <w:rPr>
                <w:rFonts w:hint="eastAsia" w:ascii="Times New Roman" w:hAnsi="Times New Roman" w:eastAsia="仿宋_GB2312" w:cs="Times New Roman"/>
                <w:sz w:val="28"/>
                <w:szCs w:val="36"/>
              </w:rPr>
              <w:t xml:space="preserve">（    元/月-    元/月）×12个月     </w:t>
            </w:r>
            <w:r>
              <w:rPr>
                <w:rFonts w:hint="eastAsia" w:ascii="Times New Roman" w:hAnsi="Times New Roman" w:eastAsia="仿宋_GB2312" w:cs="Times New Roman"/>
                <w:sz w:val="28"/>
                <w:szCs w:val="36"/>
              </w:rPr>
              <w:sym w:font="Wingdings 2" w:char="F052"/>
            </w:r>
            <w:r>
              <w:rPr>
                <w:rFonts w:hint="eastAsia" w:ascii="Times New Roman" w:hAnsi="Times New Roman" w:eastAsia="仿宋_GB2312" w:cs="Times New Roman"/>
                <w:sz w:val="28"/>
                <w:szCs w:val="36"/>
              </w:rPr>
              <w:t>面议</w:t>
            </w:r>
          </w:p>
        </w:tc>
      </w:tr>
      <w:tr w14:paraId="46FA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F238D74">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招聘人数</w:t>
            </w:r>
          </w:p>
        </w:tc>
        <w:tc>
          <w:tcPr>
            <w:tcW w:w="6736" w:type="dxa"/>
            <w:vAlign w:val="center"/>
          </w:tcPr>
          <w:p w14:paraId="6D922A33">
            <w:pPr>
              <w:spacing w:line="480" w:lineRule="exact"/>
              <w:rPr>
                <w:rFonts w:ascii="Times New Roman" w:hAnsi="Times New Roman" w:eastAsia="仿宋_GB2312" w:cs="Times New Roman"/>
                <w:sz w:val="28"/>
                <w:szCs w:val="36"/>
              </w:rPr>
            </w:pPr>
            <w:r>
              <w:rPr>
                <w:rFonts w:ascii="Times New Roman" w:hAnsi="Times New Roman" w:eastAsia="仿宋_GB2312" w:cs="Times New Roman"/>
                <w:sz w:val="28"/>
                <w:szCs w:val="36"/>
              </w:rPr>
              <w:sym w:font="Wingdings 2" w:char="F052"/>
            </w:r>
            <w:r>
              <w:rPr>
                <w:rFonts w:hint="eastAsia" w:ascii="Times New Roman" w:hAnsi="Times New Roman" w:eastAsia="仿宋_GB2312" w:cs="Times New Roman"/>
                <w:sz w:val="28"/>
                <w:szCs w:val="36"/>
              </w:rPr>
              <w:t xml:space="preserve">  </w:t>
            </w:r>
            <w:r>
              <w:rPr>
                <w:rFonts w:ascii="Times New Roman" w:hAnsi="Times New Roman" w:eastAsia="仿宋_GB2312" w:cs="Times New Roman"/>
                <w:sz w:val="28"/>
                <w:szCs w:val="36"/>
              </w:rPr>
              <w:t>4</w:t>
            </w:r>
            <w:r>
              <w:rPr>
                <w:rFonts w:hint="eastAsia" w:ascii="Times New Roman" w:hAnsi="Times New Roman" w:eastAsia="仿宋_GB2312" w:cs="Times New Roman"/>
                <w:sz w:val="28"/>
                <w:szCs w:val="36"/>
              </w:rPr>
              <w:t xml:space="preserve">  人                           </w:t>
            </w:r>
            <w:r>
              <w:rPr>
                <w:rFonts w:hint="eastAsia" w:ascii="Times New Roman" w:hAnsi="Times New Roman" w:eastAsia="仿宋_GB2312" w:cs="Times New Roman"/>
                <w:sz w:val="28"/>
                <w:szCs w:val="36"/>
              </w:rPr>
              <w:sym w:font="Wingdings 2" w:char="00A3"/>
            </w:r>
            <w:r>
              <w:rPr>
                <w:rFonts w:hint="eastAsia" w:ascii="Times New Roman" w:hAnsi="Times New Roman" w:eastAsia="仿宋_GB2312" w:cs="Times New Roman"/>
                <w:sz w:val="28"/>
                <w:szCs w:val="36"/>
              </w:rPr>
              <w:t>若干人</w:t>
            </w:r>
          </w:p>
        </w:tc>
      </w:tr>
      <w:tr w14:paraId="73AF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22532541">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学历要求</w:t>
            </w:r>
          </w:p>
        </w:tc>
        <w:tc>
          <w:tcPr>
            <w:tcW w:w="6736" w:type="dxa"/>
            <w:vAlign w:val="center"/>
          </w:tcPr>
          <w:p w14:paraId="111C3B07">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博士</w:t>
            </w:r>
          </w:p>
        </w:tc>
      </w:tr>
      <w:tr w14:paraId="334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760FAB">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专业要求</w:t>
            </w:r>
          </w:p>
        </w:tc>
        <w:tc>
          <w:tcPr>
            <w:tcW w:w="6736" w:type="dxa"/>
            <w:vAlign w:val="center"/>
          </w:tcPr>
          <w:p w14:paraId="253F07C3">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材料科学与工程、冶金工程、无机化学、电化学、材料物理化学等</w:t>
            </w:r>
            <w:r>
              <w:rPr>
                <w:rFonts w:ascii="Times New Roman" w:hAnsi="Times New Roman" w:eastAsia="仿宋_GB2312" w:cs="Times New Roman"/>
                <w:sz w:val="28"/>
                <w:szCs w:val="36"/>
              </w:rPr>
              <w:t>专业</w:t>
            </w:r>
          </w:p>
        </w:tc>
      </w:tr>
      <w:tr w14:paraId="331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2" w:hRule="atLeast"/>
        </w:trPr>
        <w:tc>
          <w:tcPr>
            <w:tcW w:w="8522" w:type="dxa"/>
            <w:gridSpan w:val="2"/>
          </w:tcPr>
          <w:p w14:paraId="3D2BF053">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职位描述（2000字以内）：</w:t>
            </w:r>
          </w:p>
          <w:p w14:paraId="41926911">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一</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基本情况</w:t>
            </w:r>
          </w:p>
          <w:p w14:paraId="15D6C253">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国家动力电池创新中心是工信部批准成立的首家国家制造业创新中心，按照“小核心、大协作、广开放”的原则，外延构建中国汽车动力电池产业创新联盟，目前联盟成员单位180余家。创新中心致力于研究开发新一代锂离子动力电池及其关键材料技术，提升检测验证技术水平，推进科技成果孵化与转化，支撑我国新能源汽车产业发展。</w:t>
            </w:r>
          </w:p>
          <w:p w14:paraId="4DC499CC">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国家动力电池创新中心的定位是着力打造动力电池协同攻关平台、动力电池检验测试评价平台、科技成果孵化与转化平台、行业共性基础工作组织平台。在应用研究领域，从动力电池材料开发到电池体系设计，从动力电池工程化生产到电池系统应用都有丰富经验和成熟成果。在前沿开发领域全面实施“锂电升级工程”和布局面向下一代动力电池固态电池等开发。以创新中心建设为契机，国家动力电池创新中心将为博士后研究人员提供广阔的学术交流平台及有力的资源保障。</w:t>
            </w:r>
          </w:p>
          <w:p w14:paraId="2A26400F">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二</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岗位需求</w:t>
            </w:r>
          </w:p>
          <w:tbl>
            <w:tblPr>
              <w:tblStyle w:val="5"/>
              <w:tblW w:w="4890" w:type="pct"/>
              <w:jc w:val="center"/>
              <w:tblLayout w:type="autofit"/>
              <w:tblCellMar>
                <w:top w:w="0" w:type="dxa"/>
                <w:left w:w="108" w:type="dxa"/>
                <w:bottom w:w="0" w:type="dxa"/>
                <w:right w:w="108" w:type="dxa"/>
              </w:tblCellMar>
            </w:tblPr>
            <w:tblGrid>
              <w:gridCol w:w="677"/>
              <w:gridCol w:w="4734"/>
              <w:gridCol w:w="1492"/>
              <w:gridCol w:w="1220"/>
            </w:tblGrid>
            <w:tr w14:paraId="07464D46">
              <w:tblPrEx>
                <w:tblCellMar>
                  <w:top w:w="0" w:type="dxa"/>
                  <w:left w:w="108" w:type="dxa"/>
                  <w:bottom w:w="0" w:type="dxa"/>
                  <w:right w:w="108" w:type="dxa"/>
                </w:tblCellMar>
              </w:tblPrEx>
              <w:trPr>
                <w:trHeight w:val="812" w:hRule="atLeast"/>
                <w:tblHeader/>
                <w:jc w:val="center"/>
              </w:trPr>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8D99F">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序号</w:t>
                  </w:r>
                </w:p>
              </w:tc>
              <w:tc>
                <w:tcPr>
                  <w:tcW w:w="2913" w:type="pct"/>
                  <w:tcBorders>
                    <w:top w:val="single" w:color="auto" w:sz="4" w:space="0"/>
                    <w:left w:val="nil"/>
                    <w:bottom w:val="single" w:color="auto" w:sz="4" w:space="0"/>
                    <w:right w:val="single" w:color="auto" w:sz="4" w:space="0"/>
                  </w:tcBorders>
                  <w:shd w:val="clear" w:color="auto" w:fill="auto"/>
                  <w:noWrap/>
                  <w:vAlign w:val="center"/>
                </w:tcPr>
                <w:p w14:paraId="45418453">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研究方向</w:t>
                  </w:r>
                </w:p>
              </w:tc>
              <w:tc>
                <w:tcPr>
                  <w:tcW w:w="918" w:type="pct"/>
                  <w:tcBorders>
                    <w:top w:val="single" w:color="auto" w:sz="4" w:space="0"/>
                    <w:left w:val="nil"/>
                    <w:bottom w:val="single" w:color="auto" w:sz="4" w:space="0"/>
                    <w:right w:val="single" w:color="auto" w:sz="4" w:space="0"/>
                  </w:tcBorders>
                  <w:shd w:val="clear" w:color="auto" w:fill="auto"/>
                  <w:noWrap/>
                  <w:vAlign w:val="center"/>
                </w:tcPr>
                <w:p w14:paraId="7D7E3CA4">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合作导师</w:t>
                  </w:r>
                </w:p>
              </w:tc>
              <w:tc>
                <w:tcPr>
                  <w:tcW w:w="751" w:type="pct"/>
                  <w:tcBorders>
                    <w:top w:val="single" w:color="auto" w:sz="4" w:space="0"/>
                    <w:left w:val="nil"/>
                    <w:bottom w:val="single" w:color="auto" w:sz="4" w:space="0"/>
                    <w:right w:val="single" w:color="auto" w:sz="4" w:space="0"/>
                  </w:tcBorders>
                  <w:shd w:val="clear" w:color="auto" w:fill="auto"/>
                  <w:noWrap/>
                  <w:vAlign w:val="center"/>
                </w:tcPr>
                <w:p w14:paraId="6EE94D45">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招聘数量</w:t>
                  </w:r>
                </w:p>
              </w:tc>
            </w:tr>
            <w:tr w14:paraId="06F633DF">
              <w:tblPrEx>
                <w:tblCellMar>
                  <w:top w:w="0" w:type="dxa"/>
                  <w:left w:w="108" w:type="dxa"/>
                  <w:bottom w:w="0" w:type="dxa"/>
                  <w:right w:w="108" w:type="dxa"/>
                </w:tblCellMar>
              </w:tblPrEx>
              <w:trPr>
                <w:trHeight w:val="812" w:hRule="atLeast"/>
                <w:jc w:val="center"/>
              </w:trPr>
              <w:tc>
                <w:tcPr>
                  <w:tcW w:w="417" w:type="pct"/>
                  <w:tcBorders>
                    <w:top w:val="nil"/>
                    <w:left w:val="single" w:color="auto" w:sz="4" w:space="0"/>
                    <w:bottom w:val="single" w:color="auto" w:sz="4" w:space="0"/>
                    <w:right w:val="single" w:color="auto" w:sz="4" w:space="0"/>
                  </w:tcBorders>
                  <w:shd w:val="clear" w:color="auto" w:fill="auto"/>
                  <w:noWrap/>
                  <w:vAlign w:val="center"/>
                </w:tcPr>
                <w:p w14:paraId="2F0F3DFD">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c>
                <w:tcPr>
                  <w:tcW w:w="2913" w:type="pct"/>
                  <w:tcBorders>
                    <w:top w:val="nil"/>
                    <w:left w:val="nil"/>
                    <w:bottom w:val="single" w:color="auto" w:sz="4" w:space="0"/>
                    <w:right w:val="single" w:color="auto" w:sz="4" w:space="0"/>
                  </w:tcBorders>
                  <w:shd w:val="clear" w:color="auto" w:fill="auto"/>
                  <w:noWrap/>
                  <w:vAlign w:val="center"/>
                </w:tcPr>
                <w:p w14:paraId="76C9D84A">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高电压富锂锰基/卤化物电解质材料及界面研究</w:t>
                  </w:r>
                </w:p>
              </w:tc>
              <w:tc>
                <w:tcPr>
                  <w:tcW w:w="918" w:type="pct"/>
                  <w:tcBorders>
                    <w:top w:val="nil"/>
                    <w:left w:val="nil"/>
                    <w:bottom w:val="single" w:color="auto" w:sz="4" w:space="0"/>
                    <w:right w:val="single" w:color="auto" w:sz="4" w:space="0"/>
                  </w:tcBorders>
                  <w:shd w:val="clear" w:color="auto" w:fill="auto"/>
                  <w:noWrap/>
                  <w:vAlign w:val="center"/>
                </w:tcPr>
                <w:p w14:paraId="387B96BB">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王建涛</w:t>
                  </w:r>
                </w:p>
              </w:tc>
              <w:tc>
                <w:tcPr>
                  <w:tcW w:w="751" w:type="pct"/>
                  <w:tcBorders>
                    <w:top w:val="nil"/>
                    <w:left w:val="nil"/>
                    <w:bottom w:val="single" w:color="auto" w:sz="4" w:space="0"/>
                    <w:right w:val="single" w:color="auto" w:sz="4" w:space="0"/>
                  </w:tcBorders>
                  <w:shd w:val="clear" w:color="auto" w:fill="auto"/>
                  <w:noWrap/>
                  <w:vAlign w:val="center"/>
                </w:tcPr>
                <w:p w14:paraId="7852438B">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r>
            <w:tr w14:paraId="118E5A86">
              <w:tblPrEx>
                <w:tblCellMar>
                  <w:top w:w="0" w:type="dxa"/>
                  <w:left w:w="108" w:type="dxa"/>
                  <w:bottom w:w="0" w:type="dxa"/>
                  <w:right w:w="108" w:type="dxa"/>
                </w:tblCellMar>
              </w:tblPrEx>
              <w:trPr>
                <w:trHeight w:val="812" w:hRule="atLeast"/>
                <w:jc w:val="center"/>
              </w:trPr>
              <w:tc>
                <w:tcPr>
                  <w:tcW w:w="417" w:type="pct"/>
                  <w:tcBorders>
                    <w:top w:val="nil"/>
                    <w:left w:val="single" w:color="auto" w:sz="4" w:space="0"/>
                    <w:bottom w:val="single" w:color="auto" w:sz="4" w:space="0"/>
                    <w:right w:val="single" w:color="auto" w:sz="4" w:space="0"/>
                  </w:tcBorders>
                  <w:shd w:val="clear" w:color="auto" w:fill="auto"/>
                  <w:noWrap/>
                  <w:vAlign w:val="center"/>
                </w:tcPr>
                <w:p w14:paraId="2E30959B">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2</w:t>
                  </w:r>
                </w:p>
              </w:tc>
              <w:tc>
                <w:tcPr>
                  <w:tcW w:w="2913" w:type="pct"/>
                  <w:tcBorders>
                    <w:top w:val="nil"/>
                    <w:left w:val="nil"/>
                    <w:bottom w:val="single" w:color="auto" w:sz="4" w:space="0"/>
                    <w:right w:val="single" w:color="auto" w:sz="4" w:space="0"/>
                  </w:tcBorders>
                  <w:shd w:val="clear" w:color="auto" w:fill="auto"/>
                  <w:vAlign w:val="center"/>
                </w:tcPr>
                <w:p w14:paraId="18E81980">
                  <w:pPr>
                    <w:widowControl/>
                    <w:jc w:val="center"/>
                    <w:rPr>
                      <w:rFonts w:ascii="仿宋_GB2312" w:hAnsi="等线" w:eastAsia="仿宋_GB2312" w:cs="宋体"/>
                      <w:kern w:val="0"/>
                      <w:sz w:val="24"/>
                    </w:rPr>
                  </w:pPr>
                  <w:r>
                    <w:rPr>
                      <w:rFonts w:hint="eastAsia" w:ascii="仿宋_GB2312" w:hAnsi="等线" w:eastAsia="仿宋_GB2312" w:cs="宋体"/>
                      <w:kern w:val="0"/>
                      <w:sz w:val="24"/>
                    </w:rPr>
                    <w:t>固态电池界面及电解质开发</w:t>
                  </w:r>
                </w:p>
              </w:tc>
              <w:tc>
                <w:tcPr>
                  <w:tcW w:w="918" w:type="pct"/>
                  <w:tcBorders>
                    <w:top w:val="nil"/>
                    <w:left w:val="nil"/>
                    <w:bottom w:val="single" w:color="auto" w:sz="4" w:space="0"/>
                    <w:right w:val="single" w:color="auto" w:sz="4" w:space="0"/>
                  </w:tcBorders>
                  <w:shd w:val="clear" w:color="auto" w:fill="auto"/>
                  <w:noWrap/>
                  <w:vAlign w:val="center"/>
                </w:tcPr>
                <w:p w14:paraId="1B271433">
                  <w:pPr>
                    <w:widowControl/>
                    <w:jc w:val="center"/>
                    <w:rPr>
                      <w:rFonts w:ascii="仿宋_GB2312" w:hAnsi="等线" w:eastAsia="仿宋_GB2312" w:cs="宋体"/>
                      <w:kern w:val="0"/>
                      <w:sz w:val="24"/>
                    </w:rPr>
                  </w:pPr>
                  <w:r>
                    <w:rPr>
                      <w:rFonts w:hint="eastAsia" w:ascii="仿宋_GB2312" w:hAnsi="等线" w:eastAsia="仿宋_GB2312" w:cs="宋体"/>
                      <w:kern w:val="0"/>
                      <w:sz w:val="24"/>
                    </w:rPr>
                    <w:t>杨容</w:t>
                  </w:r>
                </w:p>
              </w:tc>
              <w:tc>
                <w:tcPr>
                  <w:tcW w:w="751" w:type="pct"/>
                  <w:tcBorders>
                    <w:top w:val="nil"/>
                    <w:left w:val="nil"/>
                    <w:bottom w:val="single" w:color="auto" w:sz="4" w:space="0"/>
                    <w:right w:val="single" w:color="auto" w:sz="4" w:space="0"/>
                  </w:tcBorders>
                  <w:shd w:val="clear" w:color="auto" w:fill="auto"/>
                  <w:noWrap/>
                  <w:vAlign w:val="center"/>
                </w:tcPr>
                <w:p w14:paraId="453EB40E">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r>
            <w:tr w14:paraId="7B3B05EC">
              <w:tblPrEx>
                <w:tblCellMar>
                  <w:top w:w="0" w:type="dxa"/>
                  <w:left w:w="108" w:type="dxa"/>
                  <w:bottom w:w="0" w:type="dxa"/>
                  <w:right w:w="108" w:type="dxa"/>
                </w:tblCellMar>
              </w:tblPrEx>
              <w:trPr>
                <w:trHeight w:val="812" w:hRule="atLeast"/>
                <w:jc w:val="center"/>
              </w:trPr>
              <w:tc>
                <w:tcPr>
                  <w:tcW w:w="417" w:type="pct"/>
                  <w:tcBorders>
                    <w:top w:val="nil"/>
                    <w:left w:val="single" w:color="auto" w:sz="4" w:space="0"/>
                    <w:bottom w:val="single" w:color="auto" w:sz="4" w:space="0"/>
                    <w:right w:val="single" w:color="auto" w:sz="4" w:space="0"/>
                  </w:tcBorders>
                  <w:shd w:val="clear" w:color="auto" w:fill="auto"/>
                  <w:noWrap/>
                  <w:vAlign w:val="center"/>
                </w:tcPr>
                <w:p w14:paraId="1D338D90">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3</w:t>
                  </w:r>
                </w:p>
              </w:tc>
              <w:tc>
                <w:tcPr>
                  <w:tcW w:w="2913" w:type="pct"/>
                  <w:tcBorders>
                    <w:top w:val="nil"/>
                    <w:left w:val="nil"/>
                    <w:bottom w:val="single" w:color="auto" w:sz="4" w:space="0"/>
                    <w:right w:val="single" w:color="auto" w:sz="4" w:space="0"/>
                  </w:tcBorders>
                  <w:shd w:val="clear" w:color="auto" w:fill="auto"/>
                  <w:vAlign w:val="center"/>
                </w:tcPr>
                <w:p w14:paraId="5DCAA0B5">
                  <w:pPr>
                    <w:widowControl/>
                    <w:jc w:val="center"/>
                    <w:rPr>
                      <w:rFonts w:ascii="仿宋_GB2312" w:hAnsi="等线" w:eastAsia="仿宋_GB2312" w:cs="宋体"/>
                      <w:kern w:val="0"/>
                      <w:sz w:val="24"/>
                    </w:rPr>
                  </w:pPr>
                  <w:r>
                    <w:rPr>
                      <w:rFonts w:hint="eastAsia" w:ascii="仿宋_GB2312" w:hAnsi="等线" w:eastAsia="仿宋_GB2312" w:cs="宋体"/>
                      <w:kern w:val="0"/>
                      <w:sz w:val="24"/>
                    </w:rPr>
                    <w:t>固态电池安全失效机制与提升技术</w:t>
                  </w:r>
                </w:p>
              </w:tc>
              <w:tc>
                <w:tcPr>
                  <w:tcW w:w="918" w:type="pct"/>
                  <w:tcBorders>
                    <w:top w:val="nil"/>
                    <w:left w:val="nil"/>
                    <w:bottom w:val="single" w:color="auto" w:sz="4" w:space="0"/>
                    <w:right w:val="single" w:color="auto" w:sz="4" w:space="0"/>
                  </w:tcBorders>
                  <w:shd w:val="clear" w:color="auto" w:fill="auto"/>
                  <w:vAlign w:val="center"/>
                </w:tcPr>
                <w:p w14:paraId="41841FF6">
                  <w:pPr>
                    <w:widowControl/>
                    <w:jc w:val="center"/>
                    <w:rPr>
                      <w:rFonts w:ascii="仿宋_GB2312" w:hAnsi="等线" w:eastAsia="仿宋_GB2312" w:cs="宋体"/>
                      <w:kern w:val="0"/>
                      <w:sz w:val="24"/>
                    </w:rPr>
                  </w:pPr>
                  <w:r>
                    <w:rPr>
                      <w:rFonts w:hint="eastAsia" w:ascii="仿宋_GB2312" w:hAnsi="等线" w:eastAsia="仿宋_GB2312" w:cs="宋体"/>
                      <w:kern w:val="0"/>
                      <w:sz w:val="24"/>
                    </w:rPr>
                    <w:t>齐小鹏</w:t>
                  </w:r>
                </w:p>
              </w:tc>
              <w:tc>
                <w:tcPr>
                  <w:tcW w:w="751" w:type="pct"/>
                  <w:tcBorders>
                    <w:top w:val="nil"/>
                    <w:left w:val="nil"/>
                    <w:bottom w:val="single" w:color="auto" w:sz="4" w:space="0"/>
                    <w:right w:val="single" w:color="auto" w:sz="4" w:space="0"/>
                  </w:tcBorders>
                  <w:shd w:val="clear" w:color="auto" w:fill="auto"/>
                  <w:noWrap/>
                  <w:vAlign w:val="center"/>
                </w:tcPr>
                <w:p w14:paraId="04CB02E7">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r>
            <w:tr w14:paraId="112CE98B">
              <w:tblPrEx>
                <w:tblCellMar>
                  <w:top w:w="0" w:type="dxa"/>
                  <w:left w:w="108" w:type="dxa"/>
                  <w:bottom w:w="0" w:type="dxa"/>
                  <w:right w:w="108" w:type="dxa"/>
                </w:tblCellMar>
              </w:tblPrEx>
              <w:trPr>
                <w:trHeight w:val="812" w:hRule="atLeast"/>
                <w:jc w:val="center"/>
              </w:trPr>
              <w:tc>
                <w:tcPr>
                  <w:tcW w:w="417" w:type="pct"/>
                  <w:tcBorders>
                    <w:top w:val="nil"/>
                    <w:left w:val="single" w:color="auto" w:sz="4" w:space="0"/>
                    <w:bottom w:val="single" w:color="auto" w:sz="4" w:space="0"/>
                    <w:right w:val="single" w:color="auto" w:sz="4" w:space="0"/>
                  </w:tcBorders>
                  <w:shd w:val="clear" w:color="auto" w:fill="auto"/>
                  <w:noWrap/>
                  <w:vAlign w:val="center"/>
                </w:tcPr>
                <w:p w14:paraId="225F1CCE">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4</w:t>
                  </w:r>
                </w:p>
              </w:tc>
              <w:tc>
                <w:tcPr>
                  <w:tcW w:w="2913" w:type="pct"/>
                  <w:tcBorders>
                    <w:top w:val="nil"/>
                    <w:left w:val="nil"/>
                    <w:bottom w:val="single" w:color="auto" w:sz="4" w:space="0"/>
                    <w:right w:val="single" w:color="auto" w:sz="4" w:space="0"/>
                  </w:tcBorders>
                  <w:shd w:val="clear" w:color="auto" w:fill="auto"/>
                  <w:vAlign w:val="center"/>
                </w:tcPr>
                <w:p w14:paraId="35E0DE3B">
                  <w:pPr>
                    <w:widowControl/>
                    <w:jc w:val="center"/>
                    <w:rPr>
                      <w:rFonts w:ascii="仿宋_GB2312" w:hAnsi="等线" w:eastAsia="仿宋_GB2312" w:cs="宋体"/>
                      <w:kern w:val="0"/>
                      <w:sz w:val="24"/>
                    </w:rPr>
                  </w:pPr>
                  <w:r>
                    <w:rPr>
                      <w:rFonts w:hint="eastAsia" w:ascii="仿宋_GB2312" w:hAnsi="等线" w:eastAsia="仿宋_GB2312" w:cs="宋体"/>
                      <w:kern w:val="0"/>
                      <w:sz w:val="24"/>
                    </w:rPr>
                    <w:t>硫化物固态电解质表界面结构调控及高性能电解质开发</w:t>
                  </w:r>
                </w:p>
              </w:tc>
              <w:tc>
                <w:tcPr>
                  <w:tcW w:w="918" w:type="pct"/>
                  <w:tcBorders>
                    <w:top w:val="nil"/>
                    <w:left w:val="nil"/>
                    <w:bottom w:val="single" w:color="auto" w:sz="4" w:space="0"/>
                    <w:right w:val="single" w:color="auto" w:sz="4" w:space="0"/>
                  </w:tcBorders>
                  <w:shd w:val="clear" w:color="auto" w:fill="auto"/>
                  <w:vAlign w:val="center"/>
                </w:tcPr>
                <w:p w14:paraId="0EBA5DA5">
                  <w:pPr>
                    <w:widowControl/>
                    <w:jc w:val="center"/>
                    <w:rPr>
                      <w:rFonts w:ascii="仿宋_GB2312" w:hAnsi="等线" w:eastAsia="仿宋_GB2312" w:cs="宋体"/>
                      <w:kern w:val="0"/>
                      <w:sz w:val="24"/>
                    </w:rPr>
                  </w:pPr>
                  <w:r>
                    <w:rPr>
                      <w:rFonts w:hint="eastAsia" w:ascii="仿宋_GB2312" w:hAnsi="等线" w:eastAsia="仿宋_GB2312" w:cs="宋体"/>
                      <w:kern w:val="0"/>
                      <w:sz w:val="24"/>
                    </w:rPr>
                    <w:t>柏祥涛</w:t>
                  </w:r>
                </w:p>
              </w:tc>
              <w:tc>
                <w:tcPr>
                  <w:tcW w:w="751" w:type="pct"/>
                  <w:tcBorders>
                    <w:top w:val="nil"/>
                    <w:left w:val="nil"/>
                    <w:bottom w:val="single" w:color="auto" w:sz="4" w:space="0"/>
                    <w:right w:val="single" w:color="auto" w:sz="4" w:space="0"/>
                  </w:tcBorders>
                  <w:shd w:val="clear" w:color="auto" w:fill="auto"/>
                  <w:noWrap/>
                  <w:vAlign w:val="center"/>
                </w:tcPr>
                <w:p w14:paraId="1EA73F1C">
                  <w:pPr>
                    <w:widowControl/>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1</w:t>
                  </w:r>
                </w:p>
              </w:tc>
            </w:tr>
          </w:tbl>
          <w:p w14:paraId="0A8E5EB7">
            <w:pPr>
              <w:spacing w:line="360" w:lineRule="exact"/>
              <w:rPr>
                <w:rFonts w:hint="eastAsia" w:ascii="Times New Roman" w:hAnsi="Times New Roman" w:eastAsia="仿宋_GB2312" w:cs="Times New Roman"/>
                <w:sz w:val="24"/>
                <w:szCs w:val="32"/>
              </w:rPr>
            </w:pPr>
          </w:p>
          <w:p w14:paraId="74B7B7BC">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三</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应聘</w:t>
            </w:r>
            <w:r>
              <w:rPr>
                <w:rFonts w:ascii="Times New Roman" w:hAnsi="Times New Roman" w:eastAsia="仿宋_GB2312" w:cs="Times New Roman"/>
                <w:b/>
                <w:sz w:val="24"/>
                <w:szCs w:val="32"/>
              </w:rPr>
              <w:t>条件及任职条件</w:t>
            </w:r>
          </w:p>
          <w:p w14:paraId="43BCCBE9">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1、具有博士学位（博士毕业三年以内）或即将获得博士学位，基础知识扎实，业务能力强，在国际期刊发表过学术论文；</w:t>
            </w:r>
          </w:p>
          <w:p w14:paraId="3CE78AAD">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2、具备无机化学、有机合成、</w:t>
            </w:r>
            <w:r>
              <w:rPr>
                <w:rFonts w:ascii="Times New Roman" w:hAnsi="Times New Roman" w:eastAsia="仿宋_GB2312" w:cs="Times New Roman"/>
                <w:sz w:val="24"/>
                <w:szCs w:val="32"/>
              </w:rPr>
              <w:t>材料</w:t>
            </w:r>
            <w:r>
              <w:rPr>
                <w:rFonts w:hint="eastAsia" w:ascii="Times New Roman" w:hAnsi="Times New Roman" w:eastAsia="仿宋_GB2312" w:cs="Times New Roman"/>
                <w:sz w:val="24"/>
                <w:szCs w:val="32"/>
              </w:rPr>
              <w:t>科学与工程</w:t>
            </w:r>
            <w:r>
              <w:rPr>
                <w:rFonts w:ascii="Times New Roman" w:hAnsi="Times New Roman" w:eastAsia="仿宋_GB2312" w:cs="Times New Roman"/>
                <w:sz w:val="24"/>
                <w:szCs w:val="32"/>
              </w:rPr>
              <w:t>、能源材料</w:t>
            </w:r>
            <w:r>
              <w:rPr>
                <w:rFonts w:hint="eastAsia" w:ascii="Times New Roman" w:hAnsi="Times New Roman" w:eastAsia="仿宋_GB2312" w:cs="Times New Roman"/>
                <w:sz w:val="24"/>
                <w:szCs w:val="32"/>
              </w:rPr>
              <w:t>等相关专业背景；</w:t>
            </w:r>
          </w:p>
          <w:p w14:paraId="19BFF14E">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3、有较强的独立科研能力和良好的团队合作精神；</w:t>
            </w:r>
          </w:p>
          <w:p w14:paraId="73990ABC">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4、年龄在35周岁以下，具备全脱产在本站从事博士后研究工作的条件；</w:t>
            </w:r>
          </w:p>
          <w:p w14:paraId="55201E6A">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5、有下述研究领域经验者优先。</w:t>
            </w:r>
          </w:p>
          <w:p w14:paraId="6D8960ED">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研究方向一</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高电压富锂锰基/卤化物电解质材料及界面研究（王建涛）</w:t>
            </w:r>
          </w:p>
          <w:p w14:paraId="1E91F3DA">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1.具有扎实的理论化学、结构化学、物理化学、电化学及无机化学相关知识基础；</w:t>
            </w:r>
          </w:p>
          <w:p w14:paraId="6044C0A5">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2.掌握材料结构表征及分析能力、锂离子电池电化学测试和分析能力；</w:t>
            </w:r>
          </w:p>
          <w:p w14:paraId="3BE19196">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3.具有正极材料、固态电解质等相关研究经验</w:t>
            </w:r>
          </w:p>
          <w:p w14:paraId="73795820">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研究方向二</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固态电池界面及电解质开发（杨容）</w:t>
            </w:r>
          </w:p>
          <w:p w14:paraId="006DB229">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1.具有扎实的材料物理化学、电化学相关知识基础；</w:t>
            </w:r>
          </w:p>
          <w:p w14:paraId="0B586DB2">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2.掌握固态电解质材料设计、表征和分析能力；</w:t>
            </w:r>
          </w:p>
          <w:p w14:paraId="5A74EBE1">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3.掌握锂离子电池设计、表征和分析能力；</w:t>
            </w:r>
          </w:p>
          <w:p w14:paraId="4A9E215F">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4.掌握材料界面表征和分析能力。</w:t>
            </w:r>
          </w:p>
          <w:p w14:paraId="1A67CF8A">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研究方向</w:t>
            </w:r>
            <w:r>
              <w:rPr>
                <w:rFonts w:ascii="Times New Roman" w:hAnsi="Times New Roman" w:eastAsia="仿宋_GB2312" w:cs="Times New Roman"/>
                <w:b/>
                <w:sz w:val="24"/>
                <w:szCs w:val="32"/>
              </w:rPr>
              <w:t>三：</w:t>
            </w:r>
            <w:r>
              <w:rPr>
                <w:rFonts w:hint="eastAsia" w:ascii="Times New Roman" w:hAnsi="Times New Roman" w:eastAsia="仿宋_GB2312" w:cs="Times New Roman"/>
                <w:b/>
                <w:sz w:val="24"/>
                <w:szCs w:val="32"/>
              </w:rPr>
              <w:t>固态电池安全失效机制与提升技术（齐小鹏</w:t>
            </w:r>
            <w:r>
              <w:rPr>
                <w:rFonts w:ascii="Times New Roman" w:hAnsi="Times New Roman" w:eastAsia="仿宋_GB2312" w:cs="Times New Roman"/>
                <w:b/>
                <w:sz w:val="24"/>
                <w:szCs w:val="32"/>
              </w:rPr>
              <w:t>）</w:t>
            </w:r>
          </w:p>
          <w:p w14:paraId="2B6CC9B8">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1.具有扎实的物理化学、电化学相关知识基础；</w:t>
            </w:r>
          </w:p>
          <w:p w14:paraId="07836446">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2.掌握锂离子电池表征、测试和分析能力；</w:t>
            </w:r>
          </w:p>
          <w:p w14:paraId="6F973463">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3.掌握常规SEM、XRD、TEM等材料测试和分析能力。</w:t>
            </w:r>
          </w:p>
          <w:p w14:paraId="75E70EE8">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研究方向四</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硫化物固态电解质表界面结构调控及高性能电解质开发（柏祥涛）</w:t>
            </w:r>
          </w:p>
          <w:p w14:paraId="41C16CA2">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1.具有有机合成、高分子化学、物理化学、能源材料或电化学等相关专业背景；</w:t>
            </w:r>
          </w:p>
          <w:p w14:paraId="34715CEB">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2.掌握固态电解质材料设计、测试和分析能力；</w:t>
            </w:r>
          </w:p>
          <w:p w14:paraId="052917D0">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3.掌握无机非金属材料表界面改性、表征和分析能力。</w:t>
            </w:r>
          </w:p>
          <w:p w14:paraId="26968498">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四</w:t>
            </w:r>
            <w:r>
              <w:rPr>
                <w:rFonts w:ascii="Times New Roman" w:hAnsi="Times New Roman" w:eastAsia="仿宋_GB2312" w:cs="Times New Roman"/>
                <w:b/>
                <w:sz w:val="24"/>
                <w:szCs w:val="32"/>
              </w:rPr>
              <w:t>、合作导师情况</w:t>
            </w:r>
          </w:p>
          <w:p w14:paraId="3CB7482B">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王建涛，正高级工程师，博士生导师。2011年毕业于中国科学院理化技术研究所，现任国联汽车动力电池研究院有限责任公司创新事业部总经理，入选国家万人计划青年拔尖计划、获国务院政府特殊津贴、北京市杰青等国家和省部级称号7项，获省部级奖项10项。长期从事高性能电池材料及电池技术、固态电池材料及电池技术的开发工作。先后主持国家高质量发展专项、国家自然科学基金、北京市自然科学基金，参与国家“863”计划、北京市成果转化统筹项目等相关项目20余项，申请专利近100项，在 Sci. Adv., Nat. Comm., Adv. Mater., Adv. Energy Mater., Adv. Fun. Mater., ACS Energy Lett，等期刊发表论文</w:t>
            </w:r>
            <w:r>
              <w:rPr>
                <w:rFonts w:ascii="Times New Roman" w:hAnsi="Times New Roman" w:eastAsia="仿宋_GB2312" w:cs="Times New Roman"/>
                <w:sz w:val="24"/>
                <w:szCs w:val="32"/>
              </w:rPr>
              <w:t>8</w:t>
            </w:r>
            <w:r>
              <w:rPr>
                <w:rFonts w:hint="eastAsia" w:ascii="Times New Roman" w:hAnsi="Times New Roman" w:eastAsia="仿宋_GB2312" w:cs="Times New Roman"/>
                <w:sz w:val="24"/>
                <w:szCs w:val="32"/>
              </w:rPr>
              <w:t>0余篇。</w:t>
            </w:r>
          </w:p>
          <w:p w14:paraId="5012DC03">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杨容，正高级工程师。2011年毕业于北京大学化学与分子工程学院，现任国联汽车动力电池研究院有限责任公司创新事业部副总经理，2017年入选北京市科技新星人才，202</w:t>
            </w:r>
            <w:r>
              <w:rPr>
                <w:rFonts w:ascii="Times New Roman" w:hAnsi="Times New Roman" w:eastAsia="仿宋_GB2312" w:cs="Times New Roman"/>
                <w:sz w:val="24"/>
                <w:szCs w:val="32"/>
              </w:rPr>
              <w:t>4</w:t>
            </w:r>
            <w:r>
              <w:rPr>
                <w:rFonts w:hint="eastAsia" w:ascii="Times New Roman" w:hAnsi="Times New Roman" w:eastAsia="仿宋_GB2312" w:cs="Times New Roman"/>
                <w:sz w:val="24"/>
                <w:szCs w:val="32"/>
              </w:rPr>
              <w:t>年</w:t>
            </w:r>
            <w:r>
              <w:rPr>
                <w:rFonts w:ascii="Times New Roman" w:hAnsi="Times New Roman" w:eastAsia="仿宋_GB2312" w:cs="Times New Roman"/>
                <w:sz w:val="24"/>
                <w:szCs w:val="32"/>
              </w:rPr>
              <w:t>入选</w:t>
            </w:r>
            <w:r>
              <w:rPr>
                <w:rFonts w:hint="eastAsia" w:ascii="Times New Roman" w:hAnsi="Times New Roman" w:eastAsia="仿宋_GB2312" w:cs="Times New Roman"/>
                <w:sz w:val="24"/>
                <w:szCs w:val="32"/>
              </w:rPr>
              <w:t>中国有色金属青年创新争先计划。长期从事固态电解质材料及固态电池关键技术研究，先后主持完成国家自然科学基金、国家863计划、北京市科技计划等省部级项目4项，参与工信部工业转型项目、国防科技创新特区项目、广东省重点研发计划等项目10余项，发表SCI论文40余篇，授权发明专利近20项，撰写论著一章，获得省部级奖励1项。</w:t>
            </w:r>
          </w:p>
          <w:p w14:paraId="565441F8">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齐小鹏</w:t>
            </w:r>
            <w:r>
              <w:rPr>
                <w:rFonts w:ascii="Times New Roman" w:hAnsi="Times New Roman" w:eastAsia="仿宋_GB2312" w:cs="Times New Roman"/>
                <w:sz w:val="24"/>
                <w:szCs w:val="32"/>
              </w:rPr>
              <w:t>，正高级</w:t>
            </w:r>
            <w:r>
              <w:rPr>
                <w:rFonts w:hint="eastAsia" w:ascii="Times New Roman" w:hAnsi="Times New Roman" w:eastAsia="仿宋_GB2312" w:cs="Times New Roman"/>
                <w:sz w:val="24"/>
                <w:szCs w:val="32"/>
              </w:rPr>
              <w:t>工程师</w:t>
            </w:r>
            <w:r>
              <w:rPr>
                <w:rFonts w:ascii="Times New Roman" w:hAnsi="Times New Roman" w:eastAsia="仿宋_GB2312" w:cs="Times New Roman"/>
                <w:sz w:val="24"/>
                <w:szCs w:val="32"/>
              </w:rPr>
              <w:t>，</w:t>
            </w:r>
            <w:r>
              <w:rPr>
                <w:rFonts w:hint="eastAsia" w:ascii="Times New Roman" w:hAnsi="Times New Roman" w:eastAsia="仿宋_GB2312" w:cs="Times New Roman"/>
                <w:sz w:val="24"/>
                <w:szCs w:val="32"/>
              </w:rPr>
              <w:t>2013年毕业于中国科学院理化技术研究所，现任国联汽车动力电池研究院创新事业部副总经理。长期从事高比能锂离子电池先进材料、电池设计和安全问题研究。主导完成比容量≥850 mAh/g硅基负极材料设计开发、工程化试制和全电池验证，在国内外首先揭示了高镍硅基大容量高比能电池微内短路的演变机制，建立了大容量电池产释热定量研究方法，评估了半固态电池的安全失效过程与提升机制。主持完成国家自然科学基金项目1项、中关村国际创新资源支持资金项目1项、国际校企合作项目1项、横向项目3项；参与完成国家863计划、国家自然科学基金重大研究计划、中国汽车产业创新发展联合基金、北京市全市成果转化统筹项目等10余项。发表SCI论文30余篇，授权专利13项，获北京市科技进步一等奖1项、中国有色金属工业科技进步奖一等奖1项。</w:t>
            </w:r>
          </w:p>
          <w:p w14:paraId="66BAA26C">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柏祥涛，正高级工程师</w:t>
            </w:r>
            <w:r>
              <w:rPr>
                <w:rFonts w:ascii="Times New Roman" w:hAnsi="Times New Roman" w:eastAsia="仿宋_GB2312" w:cs="Times New Roman"/>
                <w:sz w:val="24"/>
                <w:szCs w:val="32"/>
              </w:rPr>
              <w:t>，</w:t>
            </w:r>
            <w:r>
              <w:rPr>
                <w:rFonts w:hint="eastAsia" w:ascii="Times New Roman" w:hAnsi="Times New Roman" w:eastAsia="仿宋_GB2312" w:cs="Times New Roman"/>
                <w:sz w:val="24"/>
                <w:szCs w:val="32"/>
              </w:rPr>
              <w:t>2011年毕业于山东大学。主要从事锂离子电池及相关材料的研究和产业化。参加工作以来，承担或完成863计划、国家自然科学基金、北京市科技计划7项，横向项目2项。主持完成4类8个型号产品的开发和量产，累计销售一亿余元。主持正极材料技转项目1项，获得技转收入4600万元。主持开发高空气稳定性高离子导硫化物固态电解质，设计建设国内第一条固态电解质吨级试制线，实现百公斤级量产。在Energy Storage Materials、Matter、Journal of materials chemistry A等期刊发表SCI收录论文40余篇，发明专利授权20余项，获省部级奖励2项。</w:t>
            </w:r>
          </w:p>
          <w:p w14:paraId="6596238A">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五</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聘期待遇</w:t>
            </w:r>
          </w:p>
          <w:p w14:paraId="4AAE6A38">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1、全日制博士后在站期间可享用北京市北三环附近两室一厅周转房 1 套（燃气、水电费自理）。</w:t>
            </w:r>
          </w:p>
          <w:p w14:paraId="202DB7CB">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2、博士后在站期间，可申报中国博士后科学基金、博士后创新人才支持计划（60万/2年）、国家博士后国际交流计划等获得经费和项目支持。</w:t>
            </w:r>
          </w:p>
          <w:p w14:paraId="14F0AB3C">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3、博士后在站期间薪酬福利待遇结合科研任务指标协商确定，享受社会保险、住房公积金等待遇。</w:t>
            </w:r>
          </w:p>
          <w:p w14:paraId="6FE5D105">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4、可协助解决博士后子女上学入托问题。</w:t>
            </w:r>
          </w:p>
          <w:p w14:paraId="6FE64287">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5、出站后择优留本单位工作，根据出站当年落户政策办理北京市常住户口。</w:t>
            </w:r>
          </w:p>
          <w:p w14:paraId="6ABB4FE6">
            <w:pPr>
              <w:spacing w:line="360" w:lineRule="exact"/>
              <w:ind w:firstLine="482" w:firstLineChars="200"/>
              <w:rPr>
                <w:rFonts w:ascii="Times New Roman" w:hAnsi="Times New Roman" w:eastAsia="仿宋_GB2312" w:cs="Times New Roman"/>
                <w:b/>
                <w:sz w:val="24"/>
                <w:szCs w:val="32"/>
              </w:rPr>
            </w:pPr>
            <w:r>
              <w:rPr>
                <w:rFonts w:hint="eastAsia" w:ascii="Times New Roman" w:hAnsi="Times New Roman" w:eastAsia="仿宋_GB2312" w:cs="Times New Roman"/>
                <w:b/>
                <w:sz w:val="24"/>
                <w:szCs w:val="32"/>
              </w:rPr>
              <w:t>六</w:t>
            </w:r>
            <w:r>
              <w:rPr>
                <w:rFonts w:ascii="Times New Roman" w:hAnsi="Times New Roman" w:eastAsia="仿宋_GB2312" w:cs="Times New Roman"/>
                <w:b/>
                <w:sz w:val="24"/>
                <w:szCs w:val="32"/>
              </w:rPr>
              <w:t>、</w:t>
            </w:r>
            <w:r>
              <w:rPr>
                <w:rFonts w:hint="eastAsia" w:ascii="Times New Roman" w:hAnsi="Times New Roman" w:eastAsia="仿宋_GB2312" w:cs="Times New Roman"/>
                <w:b/>
                <w:sz w:val="24"/>
                <w:szCs w:val="32"/>
              </w:rPr>
              <w:t>投递</w:t>
            </w:r>
            <w:r>
              <w:rPr>
                <w:rFonts w:ascii="Times New Roman" w:hAnsi="Times New Roman" w:eastAsia="仿宋_GB2312" w:cs="Times New Roman"/>
                <w:b/>
                <w:sz w:val="24"/>
                <w:szCs w:val="32"/>
              </w:rPr>
              <w:t>及联系方式</w:t>
            </w:r>
          </w:p>
          <w:p w14:paraId="390B360C">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合作导师信息</w:t>
            </w:r>
          </w:p>
          <w:p w14:paraId="7E254339">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王建涛：13811210897，wangjt@glabat.com</w:t>
            </w:r>
          </w:p>
          <w:p w14:paraId="7690CBE1">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杨  容：13718806356，yangrong@glabat.com</w:t>
            </w:r>
          </w:p>
          <w:p w14:paraId="213E86CB">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齐小鹏：18911026802，</w:t>
            </w:r>
            <w:r>
              <w:fldChar w:fldCharType="begin"/>
            </w:r>
            <w:r>
              <w:instrText xml:space="preserve"> HYPERLINK "mailto:qixp@glabat.com" </w:instrText>
            </w:r>
            <w:r>
              <w:fldChar w:fldCharType="separate"/>
            </w:r>
            <w:r>
              <w:rPr>
                <w:rFonts w:hint="eastAsia" w:ascii="Times New Roman" w:hAnsi="Times New Roman" w:eastAsia="仿宋_GB2312" w:cs="Times New Roman"/>
                <w:sz w:val="24"/>
                <w:szCs w:val="32"/>
              </w:rPr>
              <w:t>qixp@glabat.com</w:t>
            </w:r>
            <w:r>
              <w:rPr>
                <w:rFonts w:hint="eastAsia" w:ascii="Times New Roman" w:hAnsi="Times New Roman" w:eastAsia="仿宋_GB2312" w:cs="Times New Roman"/>
                <w:sz w:val="24"/>
                <w:szCs w:val="32"/>
              </w:rPr>
              <w:fldChar w:fldCharType="end"/>
            </w:r>
          </w:p>
          <w:p w14:paraId="08F781DA">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柏祥涛：</w:t>
            </w:r>
            <w:r>
              <w:rPr>
                <w:rFonts w:ascii="Times New Roman" w:hAnsi="Times New Roman" w:eastAsia="仿宋_GB2312" w:cs="Times New Roman"/>
                <w:sz w:val="24"/>
                <w:szCs w:val="32"/>
              </w:rPr>
              <w:t>15201342988</w:t>
            </w:r>
            <w:r>
              <w:rPr>
                <w:rFonts w:hint="eastAsia" w:ascii="Times New Roman" w:hAnsi="Times New Roman" w:eastAsia="仿宋_GB2312" w:cs="Times New Roman"/>
                <w:sz w:val="24"/>
                <w:szCs w:val="32"/>
              </w:rPr>
              <w:t>，</w:t>
            </w:r>
            <w:r>
              <w:rPr>
                <w:rFonts w:ascii="Times New Roman" w:hAnsi="Times New Roman" w:eastAsia="仿宋_GB2312" w:cs="Times New Roman"/>
                <w:sz w:val="24"/>
                <w:szCs w:val="32"/>
              </w:rPr>
              <w:t>baixt@glabat.com</w:t>
            </w:r>
          </w:p>
          <w:p w14:paraId="76C5D4DD">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招聘工作联系人信息</w:t>
            </w:r>
          </w:p>
          <w:p w14:paraId="230E1EFF">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张  鑫：15811529288，zhangxin@glabat.com</w:t>
            </w:r>
          </w:p>
          <w:p w14:paraId="6643C07A">
            <w:pPr>
              <w:spacing w:line="360" w:lineRule="exact"/>
              <w:ind w:firstLine="480" w:firstLineChars="200"/>
              <w:rPr>
                <w:rFonts w:ascii="Times New Roman" w:hAnsi="Times New Roman" w:eastAsia="仿宋_GB2312" w:cs="Times New Roman"/>
                <w:sz w:val="24"/>
                <w:szCs w:val="32"/>
              </w:rPr>
            </w:pPr>
            <w:r>
              <w:rPr>
                <w:rFonts w:hint="eastAsia" w:ascii="Times New Roman" w:hAnsi="Times New Roman" w:eastAsia="仿宋_GB2312" w:cs="Times New Roman"/>
                <w:sz w:val="24"/>
                <w:szCs w:val="32"/>
              </w:rPr>
              <w:t>崔玲慧</w:t>
            </w:r>
            <w:r>
              <w:rPr>
                <w:rFonts w:ascii="Times New Roman" w:hAnsi="Times New Roman" w:eastAsia="仿宋_GB2312" w:cs="Times New Roman"/>
                <w:sz w:val="24"/>
                <w:szCs w:val="32"/>
              </w:rPr>
              <w:t>：</w:t>
            </w:r>
            <w:r>
              <w:rPr>
                <w:rFonts w:hint="eastAsia" w:ascii="Times New Roman" w:hAnsi="Times New Roman" w:eastAsia="仿宋_GB2312" w:cs="Times New Roman"/>
                <w:sz w:val="24"/>
                <w:szCs w:val="32"/>
              </w:rPr>
              <w:t>15600765266，</w:t>
            </w:r>
            <w:r>
              <w:fldChar w:fldCharType="begin"/>
            </w:r>
            <w:r>
              <w:instrText xml:space="preserve"> HYPERLINK "mailto:cuilinghui@glabat.com" </w:instrText>
            </w:r>
            <w:r>
              <w:fldChar w:fldCharType="separate"/>
            </w:r>
            <w:r>
              <w:rPr>
                <w:rStyle w:val="8"/>
                <w:rFonts w:ascii="Times New Roman" w:hAnsi="Times New Roman" w:eastAsia="仿宋_GB2312" w:cs="Times New Roman"/>
                <w:sz w:val="24"/>
                <w:szCs w:val="32"/>
              </w:rPr>
              <w:t>cuilinghui@glabat.com</w:t>
            </w:r>
            <w:r>
              <w:rPr>
                <w:rStyle w:val="8"/>
                <w:rFonts w:ascii="Times New Roman" w:hAnsi="Times New Roman" w:eastAsia="仿宋_GB2312" w:cs="Times New Roman"/>
                <w:sz w:val="24"/>
                <w:szCs w:val="32"/>
              </w:rPr>
              <w:fldChar w:fldCharType="end"/>
            </w:r>
          </w:p>
          <w:p w14:paraId="0F63C9CB">
            <w:pPr>
              <w:spacing w:line="360" w:lineRule="exact"/>
              <w:ind w:firstLine="480" w:firstLineChars="200"/>
              <w:rPr>
                <w:rFonts w:ascii="Times New Roman" w:hAnsi="Times New Roman" w:eastAsia="仿宋_GB2312" w:cs="Times New Roman"/>
                <w:sz w:val="24"/>
                <w:szCs w:val="32"/>
              </w:rPr>
            </w:pPr>
          </w:p>
          <w:p w14:paraId="16E0FE59">
            <w:pPr>
              <w:spacing w:line="360" w:lineRule="exact"/>
              <w:ind w:firstLine="480" w:firstLineChars="200"/>
              <w:rPr>
                <w:rFonts w:ascii="Times New Roman" w:hAnsi="Times New Roman" w:eastAsia="仿宋_GB2312" w:cs="Times New Roman"/>
                <w:sz w:val="24"/>
                <w:szCs w:val="32"/>
              </w:rPr>
            </w:pPr>
          </w:p>
          <w:p w14:paraId="6888B9D1">
            <w:pPr>
              <w:spacing w:line="360" w:lineRule="exact"/>
              <w:ind w:firstLine="480" w:firstLineChars="200"/>
              <w:rPr>
                <w:rFonts w:ascii="Times New Roman" w:hAnsi="Times New Roman" w:eastAsia="仿宋_GB2312" w:cs="Times New Roman"/>
                <w:sz w:val="24"/>
                <w:szCs w:val="32"/>
              </w:rPr>
            </w:pPr>
          </w:p>
          <w:p w14:paraId="154F1C51">
            <w:pPr>
              <w:spacing w:line="360" w:lineRule="exact"/>
              <w:ind w:firstLine="480" w:firstLineChars="200"/>
              <w:rPr>
                <w:rFonts w:ascii="Times New Roman" w:hAnsi="Times New Roman" w:eastAsia="仿宋_GB2312" w:cs="Times New Roman"/>
                <w:sz w:val="24"/>
                <w:szCs w:val="32"/>
              </w:rPr>
            </w:pPr>
          </w:p>
          <w:p w14:paraId="293B0FAB">
            <w:pPr>
              <w:spacing w:line="360" w:lineRule="exact"/>
              <w:ind w:firstLine="480" w:firstLineChars="200"/>
              <w:rPr>
                <w:rFonts w:ascii="Times New Roman" w:hAnsi="Times New Roman" w:eastAsia="仿宋_GB2312" w:cs="Times New Roman"/>
                <w:sz w:val="24"/>
                <w:szCs w:val="32"/>
              </w:rPr>
            </w:pPr>
          </w:p>
          <w:p w14:paraId="58CA0895">
            <w:pPr>
              <w:spacing w:line="360" w:lineRule="exact"/>
              <w:ind w:firstLine="480" w:firstLineChars="200"/>
              <w:rPr>
                <w:rFonts w:ascii="Times New Roman" w:hAnsi="Times New Roman" w:eastAsia="仿宋_GB2312" w:cs="Times New Roman"/>
                <w:sz w:val="24"/>
                <w:szCs w:val="32"/>
              </w:rPr>
            </w:pPr>
          </w:p>
          <w:p w14:paraId="05E20043">
            <w:pPr>
              <w:spacing w:line="360" w:lineRule="exact"/>
              <w:ind w:firstLine="480" w:firstLineChars="200"/>
              <w:rPr>
                <w:rFonts w:ascii="Times New Roman" w:hAnsi="Times New Roman" w:eastAsia="仿宋_GB2312" w:cs="Times New Roman"/>
                <w:sz w:val="24"/>
                <w:szCs w:val="32"/>
              </w:rPr>
            </w:pPr>
          </w:p>
          <w:p w14:paraId="4A4AF3F8">
            <w:pPr>
              <w:spacing w:line="360" w:lineRule="exact"/>
              <w:ind w:firstLine="480" w:firstLineChars="200"/>
              <w:rPr>
                <w:rFonts w:ascii="Times New Roman" w:hAnsi="Times New Roman" w:eastAsia="仿宋_GB2312" w:cs="Times New Roman"/>
                <w:sz w:val="24"/>
                <w:szCs w:val="32"/>
              </w:rPr>
            </w:pPr>
          </w:p>
          <w:p w14:paraId="60B15D1F">
            <w:pPr>
              <w:spacing w:line="360" w:lineRule="exact"/>
              <w:ind w:firstLine="480" w:firstLineChars="200"/>
              <w:rPr>
                <w:rFonts w:ascii="Times New Roman" w:hAnsi="Times New Roman" w:eastAsia="仿宋_GB2312" w:cs="Times New Roman"/>
                <w:sz w:val="24"/>
                <w:szCs w:val="32"/>
              </w:rPr>
            </w:pPr>
          </w:p>
          <w:p w14:paraId="4E2A45D3">
            <w:pPr>
              <w:spacing w:line="360" w:lineRule="exact"/>
              <w:ind w:firstLine="480" w:firstLineChars="200"/>
              <w:rPr>
                <w:rFonts w:ascii="Times New Roman" w:hAnsi="Times New Roman" w:eastAsia="仿宋_GB2312" w:cs="Times New Roman"/>
                <w:sz w:val="24"/>
                <w:szCs w:val="32"/>
              </w:rPr>
            </w:pPr>
          </w:p>
          <w:p w14:paraId="2585BDEF">
            <w:pPr>
              <w:spacing w:line="360" w:lineRule="exact"/>
              <w:ind w:firstLine="480" w:firstLineChars="200"/>
              <w:rPr>
                <w:rFonts w:ascii="Times New Roman" w:hAnsi="Times New Roman" w:eastAsia="仿宋_GB2312" w:cs="Times New Roman"/>
                <w:sz w:val="24"/>
                <w:szCs w:val="32"/>
              </w:rPr>
            </w:pPr>
          </w:p>
          <w:p w14:paraId="6A6994A0">
            <w:pPr>
              <w:spacing w:line="360" w:lineRule="exact"/>
              <w:ind w:firstLine="480" w:firstLineChars="200"/>
              <w:rPr>
                <w:rFonts w:ascii="Times New Roman" w:hAnsi="Times New Roman" w:eastAsia="仿宋_GB2312" w:cs="Times New Roman"/>
                <w:sz w:val="24"/>
                <w:szCs w:val="32"/>
              </w:rPr>
            </w:pPr>
          </w:p>
          <w:p w14:paraId="5EBC5A79">
            <w:pPr>
              <w:spacing w:line="360" w:lineRule="exact"/>
              <w:ind w:firstLine="480" w:firstLineChars="200"/>
              <w:rPr>
                <w:rFonts w:ascii="Times New Roman" w:hAnsi="Times New Roman" w:eastAsia="仿宋_GB2312" w:cs="Times New Roman"/>
                <w:sz w:val="24"/>
                <w:szCs w:val="32"/>
              </w:rPr>
            </w:pPr>
          </w:p>
          <w:p w14:paraId="2622AFDA">
            <w:pPr>
              <w:spacing w:line="360" w:lineRule="exact"/>
              <w:ind w:firstLine="480" w:firstLineChars="200"/>
              <w:rPr>
                <w:rFonts w:ascii="Times New Roman" w:hAnsi="Times New Roman" w:eastAsia="仿宋_GB2312" w:cs="Times New Roman"/>
                <w:sz w:val="24"/>
                <w:szCs w:val="32"/>
              </w:rPr>
            </w:pPr>
          </w:p>
          <w:p w14:paraId="5574149A">
            <w:pPr>
              <w:spacing w:line="360" w:lineRule="exact"/>
              <w:ind w:firstLine="480" w:firstLineChars="200"/>
              <w:rPr>
                <w:rFonts w:ascii="Times New Roman" w:hAnsi="Times New Roman" w:eastAsia="仿宋_GB2312" w:cs="Times New Roman"/>
                <w:sz w:val="24"/>
                <w:szCs w:val="32"/>
              </w:rPr>
            </w:pPr>
          </w:p>
          <w:p w14:paraId="04AC6DEB">
            <w:pPr>
              <w:spacing w:line="360" w:lineRule="exact"/>
              <w:ind w:firstLine="480" w:firstLineChars="200"/>
              <w:rPr>
                <w:rFonts w:ascii="Times New Roman" w:hAnsi="Times New Roman" w:eastAsia="仿宋_GB2312" w:cs="Times New Roman"/>
                <w:sz w:val="24"/>
                <w:szCs w:val="32"/>
              </w:rPr>
            </w:pPr>
          </w:p>
          <w:p w14:paraId="627F7543">
            <w:pPr>
              <w:spacing w:line="360" w:lineRule="exact"/>
              <w:ind w:firstLine="480" w:firstLineChars="200"/>
              <w:rPr>
                <w:rFonts w:ascii="Times New Roman" w:hAnsi="Times New Roman" w:eastAsia="仿宋_GB2312" w:cs="Times New Roman"/>
                <w:sz w:val="24"/>
                <w:szCs w:val="32"/>
              </w:rPr>
            </w:pPr>
          </w:p>
          <w:p w14:paraId="152E8AAD">
            <w:pPr>
              <w:spacing w:line="360" w:lineRule="exact"/>
              <w:ind w:firstLine="480" w:firstLineChars="200"/>
              <w:rPr>
                <w:rFonts w:ascii="Times New Roman" w:hAnsi="Times New Roman" w:eastAsia="仿宋_GB2312" w:cs="Times New Roman"/>
                <w:sz w:val="24"/>
                <w:szCs w:val="32"/>
              </w:rPr>
            </w:pPr>
          </w:p>
          <w:p w14:paraId="281CB284">
            <w:pPr>
              <w:spacing w:line="360" w:lineRule="exact"/>
              <w:ind w:firstLine="480" w:firstLineChars="200"/>
              <w:rPr>
                <w:rFonts w:ascii="Times New Roman" w:hAnsi="Times New Roman" w:eastAsia="仿宋_GB2312" w:cs="Times New Roman"/>
                <w:sz w:val="24"/>
                <w:szCs w:val="32"/>
              </w:rPr>
            </w:pPr>
          </w:p>
          <w:p w14:paraId="45936DD2">
            <w:pPr>
              <w:spacing w:line="360" w:lineRule="exact"/>
              <w:ind w:firstLine="480" w:firstLineChars="200"/>
              <w:rPr>
                <w:rFonts w:ascii="Times New Roman" w:hAnsi="Times New Roman" w:eastAsia="仿宋_GB2312" w:cs="Times New Roman"/>
                <w:sz w:val="24"/>
                <w:szCs w:val="32"/>
              </w:rPr>
            </w:pPr>
          </w:p>
          <w:p w14:paraId="59B3A11B">
            <w:pPr>
              <w:spacing w:line="360" w:lineRule="exact"/>
              <w:ind w:firstLine="480" w:firstLineChars="200"/>
              <w:rPr>
                <w:rFonts w:ascii="Times New Roman" w:hAnsi="Times New Roman" w:eastAsia="仿宋_GB2312" w:cs="Times New Roman"/>
                <w:sz w:val="24"/>
                <w:szCs w:val="32"/>
              </w:rPr>
            </w:pPr>
          </w:p>
          <w:p w14:paraId="21325DAE">
            <w:pPr>
              <w:spacing w:line="360" w:lineRule="exact"/>
              <w:ind w:firstLine="480" w:firstLineChars="200"/>
              <w:rPr>
                <w:rFonts w:ascii="Times New Roman" w:hAnsi="Times New Roman" w:eastAsia="仿宋_GB2312" w:cs="Times New Roman"/>
                <w:sz w:val="24"/>
                <w:szCs w:val="32"/>
              </w:rPr>
            </w:pPr>
          </w:p>
          <w:p w14:paraId="5EE3016E">
            <w:pPr>
              <w:spacing w:line="360" w:lineRule="exact"/>
              <w:ind w:firstLine="480" w:firstLineChars="200"/>
              <w:rPr>
                <w:rFonts w:ascii="Times New Roman" w:hAnsi="Times New Roman" w:eastAsia="仿宋_GB2312" w:cs="Times New Roman"/>
                <w:sz w:val="24"/>
                <w:szCs w:val="32"/>
              </w:rPr>
            </w:pPr>
          </w:p>
          <w:p w14:paraId="2AD6C131">
            <w:pPr>
              <w:spacing w:line="360" w:lineRule="exact"/>
              <w:ind w:firstLine="480" w:firstLineChars="200"/>
              <w:rPr>
                <w:rFonts w:ascii="Times New Roman" w:hAnsi="Times New Roman" w:eastAsia="仿宋_GB2312" w:cs="Times New Roman"/>
                <w:sz w:val="24"/>
                <w:szCs w:val="32"/>
              </w:rPr>
            </w:pPr>
            <w:bookmarkStart w:id="0" w:name="_GoBack"/>
            <w:bookmarkEnd w:id="0"/>
          </w:p>
          <w:p w14:paraId="1CED517F">
            <w:pPr>
              <w:spacing w:line="360" w:lineRule="exact"/>
              <w:ind w:firstLine="480" w:firstLineChars="200"/>
              <w:rPr>
                <w:rFonts w:ascii="Times New Roman" w:hAnsi="Times New Roman" w:eastAsia="仿宋_GB2312" w:cs="Times New Roman"/>
                <w:sz w:val="24"/>
                <w:szCs w:val="32"/>
              </w:rPr>
            </w:pPr>
          </w:p>
          <w:p w14:paraId="083B01EE">
            <w:pPr>
              <w:spacing w:line="360" w:lineRule="exact"/>
              <w:ind w:firstLine="480" w:firstLineChars="200"/>
              <w:rPr>
                <w:rFonts w:ascii="Times New Roman" w:hAnsi="Times New Roman" w:eastAsia="仿宋_GB2312" w:cs="Times New Roman"/>
                <w:sz w:val="24"/>
                <w:szCs w:val="32"/>
              </w:rPr>
            </w:pPr>
          </w:p>
          <w:p w14:paraId="710E3EEC">
            <w:pPr>
              <w:spacing w:line="360" w:lineRule="exact"/>
              <w:ind w:firstLine="480" w:firstLineChars="200"/>
              <w:rPr>
                <w:rFonts w:ascii="Times New Roman" w:hAnsi="Times New Roman" w:eastAsia="仿宋_GB2312" w:cs="Times New Roman"/>
                <w:sz w:val="24"/>
                <w:szCs w:val="32"/>
              </w:rPr>
            </w:pPr>
          </w:p>
          <w:p w14:paraId="4586BBA2">
            <w:pPr>
              <w:spacing w:line="360" w:lineRule="exact"/>
              <w:rPr>
                <w:rFonts w:ascii="Times New Roman" w:hAnsi="Times New Roman" w:eastAsia="仿宋_GB2312" w:cs="Times New Roman"/>
                <w:sz w:val="28"/>
                <w:szCs w:val="36"/>
              </w:rPr>
            </w:pPr>
          </w:p>
        </w:tc>
      </w:tr>
    </w:tbl>
    <w:p w14:paraId="25B0F33A">
      <w:pPr>
        <w:rPr>
          <w:rFonts w:ascii="Times New Roman" w:hAnsi="Times New Roman" w:eastAsia="仿宋_GB2312" w:cs="Times New Roman"/>
          <w:sz w:val="2"/>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CDA3896-41FF-418B-9083-72346CB6CCE6}"/>
  </w:font>
  <w:font w:name="方正小标宋简体">
    <w:panose1 w:val="02000000000000000000"/>
    <w:charset w:val="86"/>
    <w:family w:val="auto"/>
    <w:pitch w:val="default"/>
    <w:sig w:usb0="00000001" w:usb1="080E0000" w:usb2="00000000" w:usb3="00000000" w:csb0="00040000" w:csb1="00000000"/>
    <w:embedRegular r:id="rId2" w:fontKey="{3852313A-64DD-4637-A01B-6735E77D2AA9}"/>
  </w:font>
  <w:font w:name="仿宋_GB2312">
    <w:panose1 w:val="02010609030101010101"/>
    <w:charset w:val="86"/>
    <w:family w:val="modern"/>
    <w:pitch w:val="default"/>
    <w:sig w:usb0="00000001" w:usb1="080E0000" w:usb2="00000000" w:usb3="00000000" w:csb0="00040000" w:csb1="00000000"/>
    <w:embedRegular r:id="rId3" w:fontKey="{07EB0EB9-4D37-498C-A34C-15255933617B}"/>
  </w:font>
  <w:font w:name="Wingdings 2">
    <w:panose1 w:val="05020102010507070707"/>
    <w:charset w:val="02"/>
    <w:family w:val="roman"/>
    <w:pitch w:val="default"/>
    <w:sig w:usb0="00000000" w:usb1="00000000" w:usb2="00000000" w:usb3="00000000" w:csb0="80000000" w:csb1="00000000"/>
    <w:embedRegular r:id="rId4" w:fontKey="{2FBC9E73-1627-48C0-A215-452AF9F616F5}"/>
  </w:font>
  <w:font w:name="等线">
    <w:panose1 w:val="02010600030101010101"/>
    <w:charset w:val="86"/>
    <w:family w:val="auto"/>
    <w:pitch w:val="default"/>
    <w:sig w:usb0="A00002BF" w:usb1="38CF7CFA" w:usb2="00000016" w:usb3="00000000" w:csb0="0004000F" w:csb1="00000000"/>
    <w:embedRegular r:id="rId5" w:fontKey="{A8ADDB12-4E59-4B27-AA9E-FA29A4655D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EC"/>
    <w:rsid w:val="002741DC"/>
    <w:rsid w:val="002841EC"/>
    <w:rsid w:val="006274B5"/>
    <w:rsid w:val="008D541E"/>
    <w:rsid w:val="00B35734"/>
    <w:rsid w:val="00BB28AF"/>
    <w:rsid w:val="00E251EA"/>
    <w:rsid w:val="00F13636"/>
    <w:rsid w:val="00F60888"/>
    <w:rsid w:val="00FC44D3"/>
    <w:rsid w:val="0D32029F"/>
    <w:rsid w:val="11AF6ABF"/>
    <w:rsid w:val="148454B5"/>
    <w:rsid w:val="16BC1C2B"/>
    <w:rsid w:val="1BB27DC7"/>
    <w:rsid w:val="1DA03727"/>
    <w:rsid w:val="24A11B42"/>
    <w:rsid w:val="25224860"/>
    <w:rsid w:val="25875AFA"/>
    <w:rsid w:val="25D826BD"/>
    <w:rsid w:val="26F44A9A"/>
    <w:rsid w:val="27D374C9"/>
    <w:rsid w:val="32ED680E"/>
    <w:rsid w:val="344633FE"/>
    <w:rsid w:val="35FA5E74"/>
    <w:rsid w:val="367B0D63"/>
    <w:rsid w:val="37DD04F3"/>
    <w:rsid w:val="39B9000F"/>
    <w:rsid w:val="3F600EF1"/>
    <w:rsid w:val="4450382F"/>
    <w:rsid w:val="4AC663E1"/>
    <w:rsid w:val="4CBD7ED0"/>
    <w:rsid w:val="4E157897"/>
    <w:rsid w:val="54003029"/>
    <w:rsid w:val="56BD4ED4"/>
    <w:rsid w:val="5923730C"/>
    <w:rsid w:val="5A867B53"/>
    <w:rsid w:val="5BE70AC5"/>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26E5" w:themeColor="hyperlink"/>
      <w:u w:val="single"/>
      <w14:textFill>
        <w14:solidFill>
          <w14:schemeClr w14:val="hlink"/>
        </w14:solidFill>
      </w14:textFill>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2528</Words>
  <Characters>2882</Characters>
  <Lines>22</Lines>
  <Paragraphs>6</Paragraphs>
  <TotalTime>74</TotalTime>
  <ScaleCrop>false</ScaleCrop>
  <LinksUpToDate>false</LinksUpToDate>
  <CharactersWithSpaces>2959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2025-02-18T09:35:00Z</dcterms:created>
  <dc:creator>施静敏</dc:creator>
  <cp:lastModifiedBy>施静敏</cp:lastModifiedBy>
  <dcterms:modified xsi:type="dcterms:W3CDTF">2025-04-01T06:16:47Z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eyJoZGlkIjoiZGZhYmZiZGUwOTI2ZTAzODE2NjFjMGVmNzU3YzJhYTMiLCJ1c2VySWQiOiIyNTI2MDAyMjcifQ==</vt:lpwstr>
  </property>
  <property fmtid="{D5CDD505-2E9C-101B-9397-08002B2CF9AE}" pid="4" name="ICV">
    <vt:lpwstr>9C9F8D8BF3AD44FBBF3FF4B6678FA184_12</vt:lpwstr>
  </property>
</Properties>
</file>